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Lines="50" w:line="594" w:lineRule="exact"/>
        <w:ind w:firstLine="1328" w:firstLineChars="40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微波</w:t>
      </w:r>
      <w:r>
        <w:rPr>
          <w:rFonts w:hint="eastAsia" w:ascii="方正仿宋_GBK" w:hAnsi="方正仿宋_GBK" w:eastAsia="方正仿宋_GBK" w:cs="方正仿宋_GBK"/>
          <w:sz w:val="36"/>
          <w:szCs w:val="36"/>
          <w:u w:val="single"/>
        </w:rPr>
        <w:t xml:space="preserve">治疗仪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hint="eastAsia"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w:t>
      </w:r>
      <w:r>
        <w:rPr>
          <w:rFonts w:hint="eastAsia" w:eastAsia="方正仿宋_GBK"/>
          <w:kern w:val="0"/>
          <w:sz w:val="36"/>
          <w:szCs w:val="36"/>
          <w:u w:val="single"/>
          <w:lang w:val="en-US" w:eastAsia="zh-CN"/>
        </w:rPr>
        <w:t>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02</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color w:val="000000"/>
          <w:sz w:val="36"/>
          <w:szCs w:val="36"/>
          <w:u w:val="single"/>
          <w:lang w:val="en-US" w:eastAsia="zh-CN"/>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6"/>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0D652970">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w:t>
      </w: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一</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2"/>
                <w:szCs w:val="32"/>
                <w:u w:val="none"/>
                <w:lang w:val="en-US" w:eastAsia="zh-CN"/>
              </w:rPr>
              <w:t>微波</w:t>
            </w:r>
            <w:r>
              <w:rPr>
                <w:rFonts w:hint="eastAsia" w:ascii="方正仿宋_GBK" w:hAnsi="方正仿宋_GBK" w:eastAsia="方正仿宋_GBK" w:cs="方正仿宋_GBK"/>
                <w:sz w:val="32"/>
                <w:szCs w:val="32"/>
                <w:u w:val="none"/>
              </w:rPr>
              <w:t xml:space="preserve">治疗仪  </w:t>
            </w:r>
            <w:r>
              <w:rPr>
                <w:rFonts w:hint="eastAsia" w:ascii="方正仿宋_GBK" w:hAnsi="方正仿宋_GBK" w:eastAsia="方正仿宋_GBK" w:cs="方正仿宋_GBK"/>
                <w:sz w:val="32"/>
                <w:szCs w:val="32"/>
                <w:u w:val="none"/>
                <w:lang w:val="en-US" w:eastAsia="zh-CN"/>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2</w:t>
            </w:r>
          </w:p>
        </w:tc>
        <w:tc>
          <w:tcPr>
            <w:tcW w:w="851" w:type="dxa"/>
            <w:vAlign w:val="center"/>
          </w:tcPr>
          <w:p w14:paraId="33779B0C">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color w:val="000000" w:themeColor="text1"/>
                <w:kern w:val="0"/>
                <w:sz w:val="32"/>
                <w:szCs w:val="32"/>
                <w:lang w:val="en-US" w:eastAsia="zh-CN"/>
                <w14:textFill>
                  <w14:solidFill>
                    <w14:schemeClr w14:val="tx1"/>
                  </w14:solidFill>
                </w14:textFill>
              </w:rPr>
              <w:t>2.78</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14:paraId="6FE4A3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8</w:t>
      </w:r>
      <w:r>
        <w:rPr>
          <w:rFonts w:hint="eastAsia" w:ascii="方正仿宋_GBK" w:eastAsia="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lang w:val="en-US" w:eastAsia="zh-CN"/>
          <w14:textFill>
            <w14:solidFill>
              <w14:schemeClr w14:val="tx1"/>
            </w14:solidFill>
          </w14:textFill>
        </w:rPr>
        <w:t>上</w:t>
      </w:r>
      <w:r>
        <w:rPr>
          <w:rFonts w:hint="eastAsia" w:ascii="方正仿宋_GBK" w:eastAsia="方正仿宋_GBK"/>
          <w:color w:val="000000" w:themeColor="text1"/>
          <w:sz w:val="32"/>
          <w:szCs w:val="32"/>
          <w14:textFill>
            <w14:solidFill>
              <w14:schemeClr w14:val="tx1"/>
            </w14:solidFill>
          </w14:textFill>
        </w:rPr>
        <w:t>午1</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0前</w:t>
      </w:r>
      <w:bookmarkStart w:id="4" w:name="_GoBack"/>
      <w:bookmarkEnd w:id="4"/>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2"/>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2"/>
                <w:szCs w:val="32"/>
                <w:u w:val="none"/>
                <w:lang w:val="en-US" w:eastAsia="zh-CN"/>
              </w:rPr>
              <w:t>微波</w:t>
            </w:r>
            <w:r>
              <w:rPr>
                <w:rFonts w:hint="eastAsia" w:ascii="方正仿宋_GBK" w:hAnsi="方正仿宋_GBK" w:eastAsia="方正仿宋_GBK" w:cs="方正仿宋_GBK"/>
                <w:sz w:val="32"/>
                <w:szCs w:val="32"/>
                <w:u w:val="none"/>
              </w:rPr>
              <w:t xml:space="preserve">治疗仪 </w:t>
            </w:r>
            <w:r>
              <w:rPr>
                <w:rFonts w:hint="eastAsia" w:ascii="方正仿宋_GBK" w:hAnsi="方正仿宋_GBK" w:eastAsia="方正仿宋_GBK" w:cs="方正仿宋_GBK"/>
                <w:sz w:val="36"/>
                <w:szCs w:val="36"/>
                <w:u w:val="none"/>
              </w:rPr>
              <w:t xml:space="preserve"> </w:t>
            </w:r>
          </w:p>
        </w:tc>
        <w:tc>
          <w:tcPr>
            <w:tcW w:w="2656" w:type="dxa"/>
            <w:tcBorders>
              <w:top w:val="single" w:color="auto" w:sz="4" w:space="0"/>
              <w:left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kern w:val="0"/>
                <w:sz w:val="32"/>
                <w:szCs w:val="32"/>
              </w:rPr>
            </w:pPr>
            <w:r>
              <w:rPr>
                <w:rFonts w:hint="eastAsia" w:ascii="方正仿宋_GBK" w:eastAsia="方正仿宋_GBK"/>
                <w:color w:val="000000" w:themeColor="text1"/>
                <w:kern w:val="0"/>
                <w:sz w:val="32"/>
                <w:szCs w:val="32"/>
                <w:lang w:val="en-US" w:eastAsia="zh-CN"/>
                <w14:textFill>
                  <w14:solidFill>
                    <w14:schemeClr w14:val="tx1"/>
                  </w14:solidFill>
                </w14:textFill>
              </w:rPr>
              <w:t>2</w:t>
            </w:r>
            <w:r>
              <w:rPr>
                <w:rFonts w:hint="eastAsia" w:ascii="方正仿宋_GBK" w:eastAsia="方正仿宋_GBK"/>
                <w:color w:val="000000" w:themeColor="text1"/>
                <w:kern w:val="0"/>
                <w:sz w:val="32"/>
                <w:szCs w:val="32"/>
                <w14:textFill>
                  <w14:solidFill>
                    <w14:schemeClr w14:val="tx1"/>
                  </w14:solidFill>
                </w14:textFill>
              </w:rPr>
              <w:t>台</w:t>
            </w:r>
          </w:p>
        </w:tc>
        <w:tc>
          <w:tcPr>
            <w:tcW w:w="1456" w:type="dxa"/>
            <w:vAlign w:val="center"/>
          </w:tcPr>
          <w:p w14:paraId="43EF1798">
            <w:pPr>
              <w:spacing w:line="594" w:lineRule="exact"/>
              <w:jc w:val="center"/>
              <w:rPr>
                <w:rFonts w:eastAsia="方正仿宋_GBK"/>
                <w:color w:val="000000"/>
                <w:kern w:val="0"/>
                <w:sz w:val="32"/>
                <w:szCs w:val="32"/>
              </w:rPr>
            </w:pPr>
          </w:p>
        </w:tc>
      </w:tr>
    </w:tbl>
    <w:p w14:paraId="625C1001">
      <w:pPr>
        <w:pStyle w:val="2"/>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r>
        <w:rPr>
          <w:rFonts w:hint="eastAsia" w:ascii="方正黑体_GBK" w:hAnsi="方正仿宋_GBK" w:eastAsia="方正黑体_GBK" w:cs="方正仿宋_GBK"/>
          <w:sz w:val="32"/>
          <w:szCs w:val="32"/>
        </w:rPr>
        <w:t xml:space="preserve"> </w:t>
      </w:r>
    </w:p>
    <w:p w14:paraId="3B2EB574">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1、电源电压：AC 220±22V   50±1Hz</w:t>
      </w:r>
    </w:p>
    <w:p w14:paraId="181FF163">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2、输出阻抗：50Ω</w:t>
      </w:r>
    </w:p>
    <w:p w14:paraId="2D313792">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3、输入功率：≤1000VA</w:t>
      </w:r>
    </w:p>
    <w:p w14:paraId="7FE91650">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4、输出功率：≥0～90W连续可调</w:t>
      </w:r>
    </w:p>
    <w:p w14:paraId="572D3640">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5、工作时间：0～30分钟连续可调节</w:t>
      </w:r>
    </w:p>
    <w:p w14:paraId="78F261D5">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6、工作频率：2450±50MHz</w:t>
      </w:r>
    </w:p>
    <w:p w14:paraId="2308237E">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7、连续工作时间：≥10000小时</w:t>
      </w:r>
    </w:p>
    <w:p w14:paraId="2FB7EB6C">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8、微波泄漏：≤0.3mW/c㎡</w:t>
      </w:r>
    </w:p>
    <w:p w14:paraId="62A2D7EE">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9、整机外型尺寸：360mm×560mm×780mm±50mm</w:t>
      </w:r>
    </w:p>
    <w:p w14:paraId="625A257A">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10、工作模式≥2种，包括连续模式、脉冲模式等</w:t>
      </w:r>
    </w:p>
    <w:p w14:paraId="1DFF8C4A">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11、治疗探头：圆柱型或马鞍型或矩形</w:t>
      </w:r>
    </w:p>
    <w:p w14:paraId="78C97616">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12、穿透性≥12cm</w:t>
      </w:r>
    </w:p>
    <w:p w14:paraId="4ECD201C">
      <w:pPr>
        <w:widowControl/>
        <w:spacing w:line="460" w:lineRule="exact"/>
        <w:ind w:firstLine="516" w:firstLineChars="200"/>
        <w:jc w:val="left"/>
        <w:rPr>
          <w:rFonts w:ascii="方正仿宋_GBK" w:hAnsi="方正仿宋_GBK" w:eastAsia="方正仿宋_GBK" w:cs="方正仿宋_GBK"/>
          <w:sz w:val="32"/>
          <w:szCs w:val="32"/>
        </w:rPr>
      </w:pPr>
      <w:r>
        <w:rPr>
          <w:rFonts w:hint="eastAsia"/>
        </w:rPr>
        <w:t xml:space="preserve">    </w:t>
      </w:r>
      <w:r>
        <w:rPr>
          <w:rFonts w:hint="eastAsia"/>
          <w:lang w:val="en-US" w:eastAsia="zh-CN"/>
        </w:rPr>
        <w:t xml:space="preserve"> </w:t>
      </w:r>
      <w:r>
        <w:rPr>
          <w:rFonts w:hint="eastAsia" w:ascii="方正仿宋_GBK" w:hAnsi="方正仿宋_GBK" w:eastAsia="方正仿宋_GBK" w:cs="方正仿宋_GBK"/>
          <w:sz w:val="32"/>
          <w:szCs w:val="32"/>
        </w:rPr>
        <w:t>13、具有过载、闭锁、误操作保护功能</w:t>
      </w:r>
    </w:p>
    <w:p w14:paraId="7572CFB4">
      <w:pPr>
        <w:rPr>
          <w:rFonts w:hint="default" w:eastAsia="方正仿宋_GBK"/>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14、治疗头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2个</w:t>
      </w:r>
    </w:p>
    <w:p w14:paraId="0F661FC3">
      <w:pPr>
        <w:spacing w:line="594" w:lineRule="exact"/>
        <w:rPr>
          <w:rFonts w:ascii="方正仿宋_GBK" w:eastAsia="方正仿宋_GBK"/>
          <w:sz w:val="32"/>
          <w:szCs w:val="32"/>
        </w:rPr>
      </w:pP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rPr>
        <w:t>20个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2"/>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2"/>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ind w:firstLine="596" w:firstLineChars="200"/>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2.商务要求对照表（附件三）。</w:t>
      </w:r>
    </w:p>
    <w:p w14:paraId="720D0E9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6.公开发行的介绍产品的彩页资料（作为所投产品技术参数的重要组成部分）。</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有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2"/>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164CEA6F">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2"/>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4CBC5BC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787A3896">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65224D11">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6A72D68C">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427304E6">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7269000E">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49A82D28">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2"/>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1A72817">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384"/>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0" w:type="auto"/>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0" w:type="auto"/>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0" w:type="auto"/>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0" w:type="auto"/>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0" w:type="auto"/>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0" w:type="auto"/>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2"/>
        <w:ind w:left="515"/>
      </w:pPr>
    </w:p>
    <w:p w14:paraId="61351E76">
      <w:pPr>
        <w:pStyle w:val="2"/>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2"/>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2"/>
        <w:ind w:left="515"/>
      </w:pPr>
    </w:p>
    <w:p w14:paraId="7DD5FB59">
      <w:pPr>
        <w:pStyle w:val="2"/>
        <w:ind w:left="515"/>
      </w:pPr>
    </w:p>
    <w:p w14:paraId="01853FFE">
      <w:pPr>
        <w:pStyle w:val="2"/>
        <w:ind w:left="515"/>
      </w:pPr>
    </w:p>
    <w:p w14:paraId="446AAC4D">
      <w:pPr>
        <w:pStyle w:val="2"/>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4DA72B95">
      <w:pPr>
        <w:pStyle w:val="2"/>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2"/>
        <w:ind w:left="515"/>
      </w:pPr>
    </w:p>
    <w:p w14:paraId="475819E9">
      <w:pPr>
        <w:pStyle w:val="2"/>
        <w:ind w:left="515"/>
      </w:pPr>
    </w:p>
    <w:p w14:paraId="03C52604">
      <w:pPr>
        <w:pStyle w:val="2"/>
        <w:ind w:left="515"/>
      </w:pPr>
    </w:p>
    <w:p w14:paraId="42D9B311">
      <w:pPr>
        <w:pStyle w:val="2"/>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47149233">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10"/>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10"/>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10"/>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10"/>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10"/>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10"/>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10"/>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9982B08"/>
    <w:rsid w:val="3AE220AC"/>
    <w:rsid w:val="3B714546"/>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5">
    <w:name w:val="annotation text"/>
    <w:basedOn w:val="1"/>
    <w:unhideWhenUsed/>
    <w:qFormat/>
    <w:uiPriority w:val="99"/>
    <w:pPr>
      <w:jc w:val="left"/>
    </w:pPr>
  </w:style>
  <w:style w:type="paragraph" w:styleId="6">
    <w:name w:val="Body Text"/>
    <w:basedOn w:val="1"/>
    <w:next w:val="7"/>
    <w:qFormat/>
    <w:uiPriority w:val="0"/>
    <w:pPr>
      <w:spacing w:after="120"/>
    </w:pPr>
  </w:style>
  <w:style w:type="paragraph" w:styleId="7">
    <w:name w:val="Body Text First Indent"/>
    <w:basedOn w:val="6"/>
    <w:qFormat/>
    <w:uiPriority w:val="99"/>
    <w:pPr>
      <w:ind w:firstLine="420" w:firstLineChars="1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2"/>
    <w:unhideWhenUsed/>
    <w:qFormat/>
    <w:uiPriority w:val="99"/>
    <w:rPr>
      <w:kern w:val="0"/>
      <w:sz w:val="18"/>
      <w:szCs w:val="18"/>
    </w:rPr>
  </w:style>
  <w:style w:type="paragraph" w:styleId="10">
    <w:name w:val="footer"/>
    <w:basedOn w:val="1"/>
    <w:link w:val="20"/>
    <w:qFormat/>
    <w:uiPriority w:val="99"/>
    <w:pPr>
      <w:tabs>
        <w:tab w:val="center" w:pos="4153"/>
        <w:tab w:val="right" w:pos="8306"/>
      </w:tabs>
      <w:snapToGrid w:val="0"/>
      <w:jc w:val="left"/>
    </w:pPr>
    <w:rPr>
      <w:kern w:val="0"/>
      <w:sz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10"/>
    <w:qFormat/>
    <w:uiPriority w:val="99"/>
    <w:rPr>
      <w:rFonts w:ascii="Times New Roman" w:hAnsi="Times New Roman" w:eastAsia="宋体" w:cs="Times New Roman"/>
      <w:sz w:val="18"/>
      <w:szCs w:val="20"/>
    </w:rPr>
  </w:style>
  <w:style w:type="character" w:customStyle="1" w:styleId="21">
    <w:name w:val="页眉 Char"/>
    <w:link w:val="11"/>
    <w:semiHidden/>
    <w:qFormat/>
    <w:uiPriority w:val="99"/>
    <w:rPr>
      <w:rFonts w:ascii="Times New Roman" w:hAnsi="Times New Roman" w:eastAsia="宋体" w:cs="Times New Roman"/>
      <w:sz w:val="18"/>
      <w:szCs w:val="18"/>
    </w:rPr>
  </w:style>
  <w:style w:type="character" w:customStyle="1" w:styleId="22">
    <w:name w:val="批注框文本 Char"/>
    <w:link w:val="9"/>
    <w:semiHidden/>
    <w:qFormat/>
    <w:uiPriority w:val="99"/>
    <w:rPr>
      <w:rFonts w:ascii="Times New Roman" w:hAnsi="Times New Roman" w:eastAsia="宋体" w:cs="Times New Roman"/>
      <w:sz w:val="18"/>
      <w:szCs w:val="18"/>
    </w:rPr>
  </w:style>
  <w:style w:type="character" w:customStyle="1" w:styleId="23">
    <w:name w:val="标题 1 Char"/>
    <w:link w:val="4"/>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22</Pages>
  <Words>4773</Words>
  <Characters>5036</Characters>
  <Lines>49</Lines>
  <Paragraphs>13</Paragraphs>
  <TotalTime>2</TotalTime>
  <ScaleCrop>false</ScaleCrop>
  <LinksUpToDate>false</LinksUpToDate>
  <CharactersWithSpaces>5907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2025-02-05T01:52:04Z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477887664_btnclosed</vt:lpwstr>
  </property>
  <property fmtid="{D5CDD505-2E9C-101B-9397-08002B2CF9AE}" pid="4" name="ICV">
    <vt:lpwstr>94EBC375D1B54638B3928D7F000AF4DA_13</vt:lpwstr>
  </property>
  <property fmtid="{D5CDD505-2E9C-101B-9397-08002B2CF9AE}" pid="5" name="KSOTemplateDocerSaveRecord">
    <vt:lpwstr>eyJoZGlkIjoiNDZmZTYyMzcyNDcyZTk2M2NmYWQ5YWVlZmVjZWNlODciLCJ1c2VySWQiOiIxNjIzMjkwMzQ5In0=</vt:lpwstr>
  </property>
</Properties>
</file>