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88749">
      <w:pPr>
        <w:widowControl/>
        <w:shd w:val="clear" w:color="auto" w:fill="FFFFFF"/>
        <w:spacing w:line="480" w:lineRule="auto"/>
        <w:ind w:firstLine="640"/>
        <w:jc w:val="center"/>
        <w:rPr>
          <w:rFonts w:ascii="方正仿宋_GBK" w:hAnsi="Segoe UI" w:eastAsia="方正仿宋_GBK" w:cs="Segoe UI"/>
          <w:color w:val="555555"/>
          <w:kern w:val="0"/>
          <w:sz w:val="32"/>
          <w:szCs w:val="32"/>
        </w:rPr>
      </w:pPr>
      <w:r>
        <w:rPr>
          <w:rFonts w:ascii="Segoe UI" w:hAnsi="Segoe UI" w:cs="Segoe UI"/>
          <w:b/>
          <w:bCs/>
          <w:color w:val="333333"/>
          <w:sz w:val="36"/>
          <w:szCs w:val="36"/>
          <w:shd w:val="clear" w:color="auto" w:fill="FFFFFF"/>
        </w:rPr>
        <w:t>重庆市中医骨科医院医疗设备产品推荐及询价报名通知</w:t>
      </w:r>
    </w:p>
    <w:p w14:paraId="2C22842D">
      <w:pPr>
        <w:widowControl/>
        <w:shd w:val="clear" w:color="auto" w:fill="FFFFFF"/>
        <w:spacing w:line="480" w:lineRule="auto"/>
        <w:ind w:firstLine="640"/>
        <w:rPr>
          <w:rFonts w:ascii="方正仿宋_GBK" w:hAnsi="Segoe UI" w:eastAsia="方正仿宋_GBK" w:cs="Segoe UI"/>
          <w:color w:val="555555"/>
          <w:kern w:val="0"/>
          <w:sz w:val="32"/>
          <w:szCs w:val="32"/>
        </w:rPr>
      </w:pPr>
    </w:p>
    <w:p w14:paraId="069D8405">
      <w:pPr>
        <w:widowControl/>
        <w:shd w:val="clear" w:color="auto" w:fill="FFFFFF"/>
        <w:spacing w:line="480" w:lineRule="auto"/>
        <w:ind w:firstLine="640"/>
        <w:rPr>
          <w:rFonts w:ascii="Segoe UI" w:hAnsi="Segoe UI" w:eastAsia="宋体" w:cs="Segoe UI"/>
          <w:color w:val="555555"/>
          <w:kern w:val="0"/>
          <w:sz w:val="24"/>
          <w:szCs w:val="24"/>
        </w:rPr>
      </w:pP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我院将对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腰椎科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申购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超声骨刀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、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椎间孔镜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eastAsia="zh-CN"/>
        </w:rPr>
        <w:t>；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颈胸椎科脊柱内窥镜手术系统及射频系统等医疗设备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进行产品推荐及询价报名，请有意向的厂家或总代理商到医学装备科提交相关资质材料 (厂家资质、授权、公司资质、参数及彩页并加盖鲜章)。</w:t>
      </w:r>
    </w:p>
    <w:p w14:paraId="0B9B5427">
      <w:pPr>
        <w:widowControl/>
        <w:shd w:val="clear" w:color="auto" w:fill="FFFFFF"/>
        <w:spacing w:line="480" w:lineRule="auto"/>
        <w:ind w:firstLine="640"/>
        <w:rPr>
          <w:rFonts w:ascii="Segoe UI" w:hAnsi="Segoe UI" w:eastAsia="宋体" w:cs="Segoe UI"/>
          <w:color w:val="555555"/>
          <w:kern w:val="0"/>
          <w:sz w:val="24"/>
          <w:szCs w:val="24"/>
        </w:rPr>
      </w:pP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报名时间：202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年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月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日—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月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  <w:lang w:val="en-US" w:eastAsia="zh-CN"/>
        </w:rPr>
        <w:t>29</w:t>
      </w: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日下午5点截止。</w:t>
      </w:r>
    </w:p>
    <w:p w14:paraId="433A6EAF">
      <w:pPr>
        <w:widowControl/>
        <w:shd w:val="clear" w:color="auto" w:fill="FFFFFF"/>
        <w:spacing w:line="500" w:lineRule="atLeast"/>
        <w:ind w:right="735" w:firstLine="640"/>
        <w:rPr>
          <w:rFonts w:ascii="Segoe UI" w:hAnsi="Segoe UI" w:eastAsia="宋体" w:cs="Segoe UI"/>
          <w:color w:val="555555"/>
          <w:kern w:val="0"/>
          <w:sz w:val="24"/>
          <w:szCs w:val="24"/>
        </w:rPr>
      </w:pPr>
      <w:r>
        <w:rPr>
          <w:rFonts w:hint="eastAsia" w:ascii="方正仿宋_GBK" w:hAnsi="Segoe UI" w:eastAsia="方正仿宋_GBK" w:cs="Segoe UI"/>
          <w:color w:val="555555"/>
          <w:kern w:val="0"/>
          <w:sz w:val="32"/>
          <w:szCs w:val="32"/>
        </w:rPr>
        <w:t>报名地点: 重庆市渝中区富华路19号B栋负4楼001室</w:t>
      </w:r>
    </w:p>
    <w:p w14:paraId="162A87CF">
      <w:pPr>
        <w:widowControl/>
        <w:jc w:val="left"/>
      </w:pPr>
      <w:r>
        <w:br w:type="page"/>
      </w:r>
      <w:bookmarkStart w:id="0" w:name="_GoBack"/>
      <w:bookmarkEnd w:id="0"/>
    </w:p>
    <w:p w14:paraId="5C541AA2">
      <w:pPr>
        <w:rPr>
          <w:rFonts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附件1：</w:t>
      </w:r>
    </w:p>
    <w:p w14:paraId="6DDAE776">
      <w:pPr>
        <w:jc w:val="center"/>
        <w:rPr>
          <w:rFonts w:ascii="方正黑体_GBK" w:eastAsia="方正黑体_GBK" w:hAnsiTheme="minorEastAsia"/>
          <w:sz w:val="36"/>
          <w:szCs w:val="36"/>
        </w:rPr>
      </w:pPr>
      <w:r>
        <w:rPr>
          <w:rFonts w:hint="eastAsia" w:ascii="方正黑体_GBK" w:eastAsia="方正黑体_GBK" w:hAnsiTheme="minorEastAsia"/>
          <w:sz w:val="36"/>
          <w:szCs w:val="36"/>
        </w:rPr>
        <w:t>重庆市中医骨科医院XX设备报价表</w:t>
      </w:r>
    </w:p>
    <w:tbl>
      <w:tblPr>
        <w:tblStyle w:val="3"/>
        <w:tblW w:w="14490" w:type="dxa"/>
        <w:tblInd w:w="-2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491"/>
        <w:gridCol w:w="1276"/>
        <w:gridCol w:w="1985"/>
        <w:gridCol w:w="1984"/>
        <w:gridCol w:w="2126"/>
        <w:gridCol w:w="2127"/>
        <w:gridCol w:w="1197"/>
      </w:tblGrid>
      <w:tr w14:paraId="336C4E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3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8E3D839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厂家或总代理商</w:t>
            </w:r>
          </w:p>
        </w:tc>
        <w:tc>
          <w:tcPr>
            <w:tcW w:w="1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C3FDC67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报名品牌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1DAE60C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报名型号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9168C8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原厂整机质保期（≥3年）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F03011">
            <w:pPr>
              <w:spacing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</w:p>
          <w:p w14:paraId="004EF51B">
            <w:pPr>
              <w:spacing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原厂整机价格</w:t>
            </w:r>
          </w:p>
          <w:p w14:paraId="533504F5">
            <w:pPr>
              <w:spacing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（含质保）</w:t>
            </w:r>
          </w:p>
          <w:p w14:paraId="7B6C7CA7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64FD613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23CC4E2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考察点        （限重庆市内）</w:t>
            </w:r>
          </w:p>
        </w:tc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C5412D0">
            <w:pPr>
              <w:spacing w:after="200" w:line="192" w:lineRule="auto"/>
              <w:jc w:val="center"/>
              <w:rPr>
                <w:rFonts w:ascii="方正黑体_GBK" w:eastAsia="方正黑体_GBK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 w:hAnsiTheme="minorEastAsia"/>
                <w:kern w:val="0"/>
                <w:sz w:val="24"/>
                <w:szCs w:val="24"/>
              </w:rPr>
              <w:t>产地</w:t>
            </w:r>
          </w:p>
        </w:tc>
      </w:tr>
      <w:tr w14:paraId="098B97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F92D0C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C939B9B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7658DCB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EB7046F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3BBD986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FDA3EFC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371D49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56BCD60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</w:tr>
      <w:tr w14:paraId="6C3FC2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9031FBF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4BC59C9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E3C1EB5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4431554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8639896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5E2D7F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4D7169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8B929B3">
            <w:pPr>
              <w:spacing w:after="200" w:line="276" w:lineRule="auto"/>
              <w:jc w:val="center"/>
              <w:rPr>
                <w:rFonts w:ascii="方正黑体_GBK" w:eastAsia="方正黑体_GBK" w:hAnsiTheme="minorEastAsia"/>
                <w:kern w:val="0"/>
                <w:sz w:val="36"/>
                <w:szCs w:val="36"/>
              </w:rPr>
            </w:pPr>
          </w:p>
        </w:tc>
      </w:tr>
    </w:tbl>
    <w:p w14:paraId="3003174B">
      <w:pPr>
        <w:rPr>
          <w:rFonts w:ascii="方正黑体_GBK" w:eastAsia="方正黑体_GBK" w:hAnsiTheme="minorEastAsia"/>
          <w:sz w:val="36"/>
          <w:szCs w:val="36"/>
        </w:rPr>
      </w:pPr>
    </w:p>
    <w:p w14:paraId="3DA05E25">
      <w:pPr>
        <w:rPr>
          <w:rFonts w:ascii="方正仿宋_GBK" w:eastAsia="方正仿宋_GBK" w:hAnsiTheme="minorEastAsia"/>
          <w:sz w:val="28"/>
          <w:szCs w:val="28"/>
        </w:rPr>
      </w:pPr>
      <w:r>
        <w:rPr>
          <w:rFonts w:hint="eastAsia" w:ascii="方正黑体_GBK" w:eastAsia="方正黑体_GBK" w:hAnsiTheme="minorEastAsia"/>
          <w:sz w:val="36"/>
          <w:szCs w:val="36"/>
        </w:rPr>
        <w:t xml:space="preserve">                                                          </w:t>
      </w:r>
      <w:r>
        <w:rPr>
          <w:rFonts w:hint="eastAsia" w:ascii="方正仿宋_GBK" w:eastAsia="方正仿宋_GBK" w:hAnsiTheme="minorEastAsia"/>
          <w:sz w:val="28"/>
          <w:szCs w:val="28"/>
        </w:rPr>
        <w:t>XXX医疗设备有限公司</w:t>
      </w:r>
    </w:p>
    <w:p w14:paraId="785F8B4D">
      <w:pPr>
        <w:rPr>
          <w:rFonts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 xml:space="preserve">                                                                           报价人（及鲜章）：</w:t>
      </w:r>
    </w:p>
    <w:p w14:paraId="757D63F3">
      <w:r>
        <w:rPr>
          <w:rFonts w:hint="eastAsia" w:ascii="方正仿宋_GBK" w:eastAsia="方正仿宋_GBK" w:hAnsiTheme="minorEastAsia"/>
          <w:sz w:val="28"/>
          <w:szCs w:val="28"/>
        </w:rPr>
        <w:t xml:space="preserve">                                                                           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06"/>
    <w:rsid w:val="003A5215"/>
    <w:rsid w:val="007F1611"/>
    <w:rsid w:val="00AE21D4"/>
    <w:rsid w:val="00C05C06"/>
    <w:rsid w:val="00CC400A"/>
    <w:rsid w:val="00D02211"/>
    <w:rsid w:val="00DE37A9"/>
    <w:rsid w:val="3F994BC4"/>
    <w:rsid w:val="6F4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287</Words>
  <Characters>297</Characters>
  <Lines>3</Lines>
  <Paragraphs>1</Paragraphs>
  <TotalTime>16</TotalTime>
  <ScaleCrop>false</ScaleCrop>
  <LinksUpToDate>false</LinksUpToDate>
  <CharactersWithSpaces>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2024-02-04T02:19:00Z</dcterms:created>
  <dc:creator>任佳庆</dc:creator>
  <cp:lastModifiedBy>任佳庆</cp:lastModifiedBy>
  <dcterms:modified xsi:type="dcterms:W3CDTF">2025-04-25T00:49:35Z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eyJoZGlkIjoiYzQ3ZTNmNTU0MWMwYWFkNTgxMDE5YWJhZGE4Y2NiZGYiLCJ1c2VySWQiOiIxNjIyMDk5OTQ3In0=</vt:lpwstr>
  </property>
  <property fmtid="{D5CDD505-2E9C-101B-9397-08002B2CF9AE}" pid="3" name="KSOProductBuildVer">
    <vt:lpwstr>2052-12.1.0.20305</vt:lpwstr>
  </property>
  <property fmtid="{D5CDD505-2E9C-101B-9397-08002B2CF9AE}" pid="4" name="ICV">
    <vt:lpwstr>74F337C1275B46A7A9CF5A4C503CB989_12</vt:lpwstr>
  </property>
</Properties>
</file>