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5E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膝痹消熏洗颗粒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、筋舒胶囊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非临床安全性</w:t>
      </w:r>
    </w:p>
    <w:p w14:paraId="71128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研究方案</w:t>
      </w:r>
    </w:p>
    <w:p w14:paraId="64EAD6A6">
      <w:pPr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34AE4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医院经验方拟开发为医疗机构制剂，前期已完成药学研究，按要求拟开展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非临床安全性研究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，现将具体要求汇总如下：</w:t>
      </w:r>
    </w:p>
    <w:p w14:paraId="7421F8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膝痹消熏洗颗粒</w:t>
      </w:r>
    </w:p>
    <w:p w14:paraId="4BBD9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背景信息</w:t>
      </w:r>
    </w:p>
    <w:p w14:paraId="43CF5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受试物：膝痹消熏洗颗粒（医院制剂）</w:t>
      </w:r>
    </w:p>
    <w:p w14:paraId="0431B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功能主治：活血化瘀、通调气血、祛风除湿、消肿止痛。用于膝关节骨性关节炎。</w:t>
      </w:r>
    </w:p>
    <w:p w14:paraId="027B4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给药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途径及疗程：外用，10天为1疗程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。</w:t>
      </w:r>
    </w:p>
    <w:p w14:paraId="4E2E6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研究目的：申报重庆市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制剂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备案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品种。</w:t>
      </w:r>
    </w:p>
    <w:p w14:paraId="662E7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（二）非临床有效性安全性评价研究的总体试验设计</w:t>
      </w:r>
    </w:p>
    <w:p w14:paraId="68DB6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根据NMPA 《药品注册管理办法》（ 2020 ）、《药物非临床研究质量管理规范》（2017）、《中药注册分类及申报资料要求》（2020）、《中药注册管理专门规定》（2023）、ICH《 M3(R2) 支持药物进行临床试验和上市的非临床安全性研究指导原则》（2009），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《重庆市医疗机构应用传统工艺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配制中药制剂备案管理实施细则》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相关技术指导原则，并结合受试物背景和用户需求，非临床研究设计了单次给药毒性研究、重复给药毒性研究。</w:t>
      </w:r>
    </w:p>
    <w:p w14:paraId="148C7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研究内容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和测试项目：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 xml:space="preserve"> </w:t>
      </w:r>
    </w:p>
    <w:tbl>
      <w:tblPr>
        <w:tblStyle w:val="3"/>
        <w:tblW w:w="54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635"/>
        <w:gridCol w:w="6279"/>
      </w:tblGrid>
      <w:tr w14:paraId="16F7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39C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项目名称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E5C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研究内容</w:t>
            </w:r>
          </w:p>
        </w:tc>
        <w:tc>
          <w:tcPr>
            <w:tcW w:w="3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6D6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备 注</w:t>
            </w:r>
          </w:p>
        </w:tc>
      </w:tr>
      <w:tr w14:paraId="045F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80D9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安全性评价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8BE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大鼠</w:t>
            </w:r>
            <w:r>
              <w:rPr>
                <w:rFonts w:ascii="Times New Roman" w:hAnsi="Times New Roman" w:cs="Times New Roman"/>
                <w:szCs w:val="21"/>
              </w:rPr>
              <w:t>单次给药毒性试验</w:t>
            </w:r>
          </w:p>
        </w:tc>
        <w:tc>
          <w:tcPr>
            <w:tcW w:w="3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8A6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包括空白对照组（基质）和给药组（完整皮肤、破损皮肤组），考察经皮给药的急性毒性</w:t>
            </w:r>
          </w:p>
          <w:p w14:paraId="18BC218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检测指标：连续14d，每日对动物进行一般状态观察，每周称重，观察期结束剖杀动物进行大体观察，异常组织进行组织病理学检查</w:t>
            </w:r>
          </w:p>
        </w:tc>
      </w:tr>
      <w:tr w14:paraId="7449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440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5CD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大鼠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个月重复给药毒性试验</w:t>
            </w:r>
          </w:p>
        </w:tc>
        <w:tc>
          <w:tcPr>
            <w:tcW w:w="3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7494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SD大鼠</w:t>
            </w:r>
            <w:r>
              <w:rPr>
                <w:rFonts w:hint="eastAsia" w:ascii="Times New Roman" w:hAnsi="Times New Roman" w:cs="Times New Roman"/>
                <w:szCs w:val="21"/>
              </w:rPr>
              <w:t>150</w:t>
            </w:r>
            <w:r>
              <w:rPr>
                <w:rFonts w:ascii="Times New Roman" w:hAnsi="Times New Roman" w:cs="Times New Roman"/>
                <w:szCs w:val="21"/>
              </w:rPr>
              <w:t>只，分为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组，分别为空白对照组（基质，完整皮肤）、受试物低、中、高剂量组（完整皮肤）</w:t>
            </w:r>
            <w:r>
              <w:rPr>
                <w:rFonts w:hint="eastAsia" w:ascii="Times New Roman" w:hAnsi="Times New Roman" w:cs="Times New Roman"/>
                <w:szCs w:val="21"/>
              </w:rPr>
              <w:t>，受试物高剂量组（破损皮肤组）</w:t>
            </w:r>
            <w:r>
              <w:rPr>
                <w:rFonts w:ascii="Times New Roman" w:hAnsi="Times New Roman" w:cs="Times New Roman"/>
                <w:szCs w:val="21"/>
              </w:rPr>
              <w:t>，每组30只，连续给药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个月（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周），恢复期4周，给药末期、恢复期分别进行部分动物解剖（其中给药末期解剖20只/组，恢复期解剖10只/组），进行血液生化、骨髓、组织病理学检查。</w:t>
            </w:r>
          </w:p>
          <w:p w14:paraId="0EF3AE21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检测指标：</w:t>
            </w:r>
          </w:p>
          <w:p w14:paraId="356BCE21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 一般临床观察：摄食量、行为活动、精神状况、外观体征、腺体分泌、粪便性状、皮肤、粘膜；</w:t>
            </w:r>
          </w:p>
          <w:p w14:paraId="03CF8CED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 体重：每周1次；</w:t>
            </w:r>
          </w:p>
          <w:p w14:paraId="4C5E17C5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血液学指标：红细胞数（RBC）、白细胞数（WBC）、血红蛋白（HGB）、红细胞压积（HCT）、红细胞平均体积（MCV）、平均血红蛋白含量（MCH）、平均血红蛋白浓度（MCHC）、血小板计数（PLT）、WBC分类（中性粒细胞百分比Neu%、淋巴百分比Lym%、嗜酸百分比Eos%、嗜碱百分比Bas%、单核百分比Mon%）、网织红细胞计数（RET）；检测时间：给药末期、恢复期；</w:t>
            </w:r>
          </w:p>
          <w:p w14:paraId="50C2B8D5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 凝血指标：凝血酶原时间（PT）；检测时间：给药末期、恢复期；</w:t>
            </w:r>
          </w:p>
          <w:p w14:paraId="59399C2B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 生化指标：天门冬氨酸氨基转移酶（AST）、丙氨酸氨基转移酶（ALT）、碱性磷酸酶（ALP）、尿素氮（BUN）、胆固醇（CHO）、葡萄糖（GLU）、总胆红素（TBIL）、直接胆红素（DBIL）、肌酐（CRE）、总蛋白（TP）、白蛋白（ALB）、肌酸激酶（CK）、甘油三酯（TG）、钠（Na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+</w:t>
            </w:r>
            <w:r>
              <w:rPr>
                <w:rFonts w:ascii="Times New Roman" w:hAnsi="Times New Roman" w:eastAsia="宋体" w:cs="Times New Roman"/>
                <w:szCs w:val="21"/>
              </w:rPr>
              <w:t>）、钾（K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+</w:t>
            </w:r>
            <w:r>
              <w:rPr>
                <w:rFonts w:ascii="Times New Roman" w:hAnsi="Times New Roman" w:eastAsia="宋体" w:cs="Times New Roman"/>
                <w:szCs w:val="21"/>
              </w:rPr>
              <w:t>）、氯（Cl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）；检测时间：给药末期、恢复期；</w:t>
            </w:r>
          </w:p>
          <w:p w14:paraId="122900D4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 脏器系数或脏脑比：脑、心脏、肝脏、肾脏、肾上腺、胸腺、脾脏、卵巢、子宫、甲状腺（含甲状旁腺）、肺脏；检测时间：给药末期、恢复期；（脏脑比仅在受试物对动物体重有影响时开展）</w:t>
            </w:r>
          </w:p>
          <w:p w14:paraId="4A118B5F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 组织病理：空白对照组、高剂量组、尸检异常动物应进行详细检查，如高剂量组动物某一组织发生与毒性相关的病理改变，需要对其他剂量组动物的相同组织进行组织病理学检查。具体检查脏器如下：脑（包括大脑、小脑、脑干）、脊髓（颈、胸、腰段）、垂体、胸腺（或胸腺区域）、甲状腺（含甲状旁腺）、食管、唾液腺（腮腺、舌下腺、颌下腺）、胃、小肠（十二指肠、空肠、回肠）、大肠（包括结肠、直肠、盲肠）、肝脏、胆囊、肾脏、肾上腺、脾脏、胰腺、气管、肺脏（附主支气管）、主动脉、心脏、子宫和子宫颈、卵巢和输卵管、乳腺、皮肤、肌肉及坐骨神经、膀胱、胸骨、淋巴结（颌下淋巴结、肠系膜淋巴结）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给药部位、</w:t>
            </w:r>
            <w:r>
              <w:rPr>
                <w:rFonts w:ascii="Times New Roman" w:hAnsi="Times New Roman" w:eastAsia="宋体" w:cs="Times New Roman"/>
                <w:szCs w:val="21"/>
              </w:rPr>
              <w:t>异常组织；检测时间：给药末期、恢复期；</w:t>
            </w:r>
          </w:p>
          <w:p w14:paraId="3B9C3FD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11. 骨髓涂片（全部动物；外周血象有异常时开展骨髓检查）：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Cs w:val="21"/>
              </w:rPr>
              <w:t>计数各系统各阶段百分比；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Cs w:val="21"/>
              </w:rPr>
              <w:t>粒系细胞系统总数与红细胞系统总数的比值；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Cs w:val="21"/>
              </w:rPr>
              <w:t>巨核细胞全片总数，必要时则应作全片巨核细胞计数。检测时间：给药末期、恢复期。</w:t>
            </w:r>
          </w:p>
        </w:tc>
      </w:tr>
      <w:tr w14:paraId="1139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72FC3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特殊安全性试验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D05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家兔药物刺激性试验</w:t>
            </w:r>
          </w:p>
        </w:tc>
        <w:tc>
          <w:tcPr>
            <w:tcW w:w="3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4E36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受试物</w:t>
            </w:r>
            <w:r>
              <w:rPr>
                <w:rFonts w:ascii="Times New Roman" w:hAnsi="Times New Roman" w:eastAsia="宋体" w:cs="Times New Roman"/>
                <w:szCs w:val="21"/>
              </w:rPr>
              <w:t>完整皮肤和破损皮肤组，分别给予供试品，对照侧给予基质，观察皮肤刺激情况</w:t>
            </w:r>
          </w:p>
        </w:tc>
      </w:tr>
      <w:tr w14:paraId="124F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729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B916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豚鼠药物过敏性试验</w:t>
            </w:r>
          </w:p>
        </w:tc>
        <w:tc>
          <w:tcPr>
            <w:tcW w:w="3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CA43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进行IV型过敏反应试验，给药4次，分别为第0、第7、第14天和第28天给药</w:t>
            </w:r>
          </w:p>
        </w:tc>
      </w:tr>
    </w:tbl>
    <w:p w14:paraId="1FEB84E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筋舒胶囊</w:t>
      </w:r>
    </w:p>
    <w:p w14:paraId="760C6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背景信息</w:t>
      </w:r>
    </w:p>
    <w:p w14:paraId="4C79C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受试物：筋舒胶囊（医院制剂）</w:t>
      </w:r>
    </w:p>
    <w:p w14:paraId="27E7ED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功能主治：舒筋活血、养血通络、补肝益肾。用于缓解软组织肿胀、疼痛之症。</w:t>
      </w:r>
    </w:p>
    <w:p w14:paraId="06A43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途径及疗程：口服，四周为1疗程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。</w:t>
      </w:r>
    </w:p>
    <w:p w14:paraId="262A3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研究目的：申报重庆市医院制剂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注册品种。</w:t>
      </w:r>
    </w:p>
    <w:p w14:paraId="0FB268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（二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非临床有效性安全性评价研究的总体试验设计</w:t>
      </w:r>
    </w:p>
    <w:p w14:paraId="556F82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根据NMPA 《药品注册管理办法》（ 2020 ）、《药物非临床研究质量管理规范》（2017）、《中药注册分类及申报资料要求》（2020）、《中药注册管理专门规定》（2023）、ICH《 M3(R2) 支持药物进行临床试验和上市的非临床安全性研究指导原则》（2009），《重庆市医疗机构制剂注册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管理实施细则》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和《医疗机构制剂注册管理办法》相关技术指导原则，并结合受试物背景和用户需求，非临床研究设计了单次给药毒性研究、重复给药毒性研究。</w:t>
      </w:r>
    </w:p>
    <w:p w14:paraId="0B404F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研究内容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和测试项目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3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635"/>
        <w:gridCol w:w="5937"/>
      </w:tblGrid>
      <w:tr w14:paraId="02E1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A2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项目名称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D8A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研究内容</w:t>
            </w:r>
          </w:p>
        </w:tc>
        <w:tc>
          <w:tcPr>
            <w:tcW w:w="3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9D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备 注</w:t>
            </w:r>
          </w:p>
        </w:tc>
      </w:tr>
      <w:tr w14:paraId="09D7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11B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安全性评价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FBA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单次给药毒性试验</w:t>
            </w:r>
          </w:p>
        </w:tc>
        <w:tc>
          <w:tcPr>
            <w:tcW w:w="3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C7F7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进行最大耐受量/最大给药量试验</w:t>
            </w:r>
          </w:p>
          <w:p w14:paraId="2CF6C158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检测指标：连续14d，每日对动物进行一般状态观察，每周称重，观察期结束剖杀动物进行大体观察，异常组织进行组织病理学检查</w:t>
            </w:r>
          </w:p>
        </w:tc>
      </w:tr>
      <w:tr w14:paraId="414E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D1B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2E0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大鼠3个月重复给药毒性试验</w:t>
            </w:r>
          </w:p>
        </w:tc>
        <w:tc>
          <w:tcPr>
            <w:tcW w:w="3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758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D大鼠120只，分为4组，分别为空白对照组，受试物低、中、高剂量组，每组30只，连续给药3个月（13周），恢复期4周，给药末期、恢复期分别进行部分动物解剖（其中给药末期解剖20只/组，恢复期解剖10只/组），进行血液生化、骨髓、组织病理学检查。</w:t>
            </w:r>
          </w:p>
          <w:p w14:paraId="088C94F5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检测指标：</w:t>
            </w:r>
          </w:p>
          <w:p w14:paraId="299F9BC1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 一般临床观察：摄食量、行为活动、精神状况、外观体征、腺体分泌、粪便性状、皮肤、粘膜；</w:t>
            </w:r>
          </w:p>
          <w:p w14:paraId="1783E388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 体重：每周1次；</w:t>
            </w:r>
          </w:p>
          <w:p w14:paraId="08083B10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血液学指标：红细胞数（RBC）、白细胞数（WBC）、血红蛋白（HGB）、红细胞压积（HCT）、红细胞平均体积（MCV）、平均血红蛋白含量（MCH）、平均血红蛋白浓度（MCHC）、血小板计数（PLT）、WBC分类（中性粒细胞百分比Neu%、淋巴百分比Lym%、嗜酸百分比Eos%、嗜碱百分比Bas%、单核百分比Mon%）、网织红细胞计数（RET）；检测时间：给药末期、恢复期；</w:t>
            </w:r>
          </w:p>
          <w:p w14:paraId="5DBDF119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 凝血指标：凝血酶原时间（PT）；检测时间：给药末期、恢复期；</w:t>
            </w:r>
          </w:p>
          <w:p w14:paraId="1C7DBAFE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 生化指标：天门冬氨酸氨基转移酶（AST）、丙氨酸氨基转移酶（ALT）、碱性磷酸酶（ALP）、尿素氮（BUN）、胆固醇（CHO）、葡萄糖（GLU）、总胆红素（TBIL）、直接胆红素（DBIL）、肌酐（CRE）、总蛋白（TP）、白蛋白（ALB）、肌酸激酶（CK）、甘油三酯（TG）、钠（Na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+</w:t>
            </w:r>
            <w:r>
              <w:rPr>
                <w:rFonts w:ascii="Times New Roman" w:hAnsi="Times New Roman" w:eastAsia="宋体" w:cs="Times New Roman"/>
                <w:szCs w:val="21"/>
              </w:rPr>
              <w:t>）、钾（K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+</w:t>
            </w:r>
            <w:r>
              <w:rPr>
                <w:rFonts w:ascii="Times New Roman" w:hAnsi="Times New Roman" w:eastAsia="宋体" w:cs="Times New Roman"/>
                <w:szCs w:val="21"/>
              </w:rPr>
              <w:t>）、氯（Cl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）；检测时间：给药末期、恢复期；</w:t>
            </w:r>
          </w:p>
          <w:p w14:paraId="3C048A7E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 脏器系数或脏脑比：脑、心脏、肝脏、肾脏、肾上腺、胸腺、脾脏、卵巢、子宫、甲状腺（含甲状旁腺）、肺脏；检测时间：给药末期、恢复期；（脏脑比仅在受试物对动物体重有影响时开展）</w:t>
            </w:r>
          </w:p>
          <w:p w14:paraId="33EB7D26"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 组织病理：空白对照组、高剂量组、尸检异常动物应进行详细检查，如高剂量组动物某一组织发生与毒性相关的病理改变，需要对其他剂量组动物的相同组织进行组织病理学检查。具体检查脏器如下：脑（包括大脑、小脑、脑干）、脊髓（颈、胸、腰段）、垂体、胸腺（或胸腺区域）、甲状腺（含甲状旁腺）、食管、唾液腺（腮腺、舌下腺、颌下腺）、胃、小肠（十二指肠、空肠、回肠）、大肠（包括结肠、直肠、盲肠）、肝脏、胆囊、肾脏、肾上腺、脾脏、胰腺、气管、肺脏（附主支气管）、主动脉、心脏、子宫和子宫颈、卵巢和输卵管、乳腺、皮肤、肌肉及坐骨神经、膀胱、胸骨、淋巴结（颌下淋巴结、肠系膜淋巴结）、异常组织；检测时间：给药末期、恢复期；</w:t>
            </w:r>
          </w:p>
          <w:p w14:paraId="50152E07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11. 骨髓涂片（全部动物；外周血象有异常时开展骨髓检查）：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Cs w:val="21"/>
              </w:rPr>
              <w:t>计数各系统各阶段百分比；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Cs w:val="21"/>
              </w:rPr>
              <w:t>粒系细胞系统总数与红细胞系统总数的比值；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Cs w:val="21"/>
              </w:rPr>
              <w:t>巨核细胞全片总数，必要时则应作全片巨核细胞计数。检测时间：给药末期、恢复期。</w:t>
            </w:r>
          </w:p>
        </w:tc>
      </w:tr>
    </w:tbl>
    <w:p w14:paraId="3A48E15C"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/>
          <w:bCs/>
          <w:sz w:val="30"/>
          <w:szCs w:val="30"/>
          <w:lang w:eastAsia="zh-CN"/>
        </w:rPr>
      </w:pPr>
    </w:p>
    <w:sectPr>
      <w:pgSz w:w="11906" w:h="16838"/>
      <w:pgMar w:top="1446" w:right="1984" w:bottom="1446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FBB57"/>
    <w:multiLevelType w:val="singleLevel"/>
    <w:tmpl w:val="97CFBB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617D8"/>
    <w:rsid w:val="4FC45D51"/>
    <w:rsid w:val="69A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2055</Words>
  <Characters>2196</Characters>
  <Lines>0</Lines>
  <Paragraphs>0</Paragraphs>
  <TotalTime>5</TotalTime>
  <ScaleCrop>false</ScaleCrop>
  <LinksUpToDate>false</LinksUpToDate>
  <CharactersWithSpaces>2216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2025-07-08T06:46:00Z</dcterms:created>
  <dc:creator>Administrator</dc:creator>
  <cp:lastModifiedBy>刘才英</cp:lastModifiedBy>
  <dcterms:modified xsi:type="dcterms:W3CDTF">2025-07-08T07:46:27Z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eyJoZGlkIjoiMTkwNDc2NTQxZTQxNTY2ZWIzMzJhYjk3NzlmNWNkYjYiLCJ1c2VySWQiOiIxNjIyMzkyMjA1In0=</vt:lpwstr>
  </property>
  <property fmtid="{D5CDD505-2E9C-101B-9397-08002B2CF9AE}" pid="4" name="ICV">
    <vt:lpwstr>6D48CF47804B4BFB8D38537611CF92BB_12</vt:lpwstr>
  </property>
</Properties>
</file>